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1DBCF181" w:rsidR="005944A5" w:rsidRPr="00C960A7" w:rsidRDefault="00021B55">
      <w:pPr>
        <w:rPr>
          <w:sz w:val="24"/>
          <w:szCs w:val="24"/>
        </w:rPr>
      </w:pPr>
      <w:r w:rsidRPr="00C960A7">
        <w:rPr>
          <w:sz w:val="24"/>
          <w:szCs w:val="24"/>
        </w:rPr>
        <w:t xml:space="preserve">Załącznik nr </w:t>
      </w:r>
      <w:r w:rsidR="006F041A" w:rsidRPr="00C960A7">
        <w:rPr>
          <w:sz w:val="24"/>
          <w:szCs w:val="24"/>
        </w:rPr>
        <w:t>3</w:t>
      </w:r>
      <w:r w:rsidR="0012566F">
        <w:rPr>
          <w:sz w:val="24"/>
          <w:szCs w:val="24"/>
        </w:rPr>
        <w:t>A</w:t>
      </w:r>
      <w:r w:rsidRPr="00C960A7">
        <w:rPr>
          <w:sz w:val="24"/>
          <w:szCs w:val="24"/>
        </w:rPr>
        <w:t xml:space="preserve"> do SWZ</w:t>
      </w:r>
    </w:p>
    <w:p w14:paraId="47970065" w14:textId="77777777" w:rsidR="00021B55" w:rsidRPr="00ED11D5" w:rsidRDefault="00021B55" w:rsidP="00ED11D5">
      <w:pPr>
        <w:pStyle w:val="Nagwek1"/>
      </w:pPr>
      <w:r w:rsidRPr="00ED11D5">
        <w:t>Specyfikacja techniczna</w:t>
      </w:r>
    </w:p>
    <w:p w14:paraId="06F6EB87" w14:textId="3392869B" w:rsidR="00021B55" w:rsidRPr="00ED11D5" w:rsidRDefault="00021B55" w:rsidP="00ED11D5">
      <w:pPr>
        <w:pStyle w:val="Nagwek1"/>
      </w:pPr>
      <w:r w:rsidRPr="00ED11D5">
        <w:t xml:space="preserve">Zadanie </w:t>
      </w:r>
      <w:r w:rsidR="0012566F">
        <w:t>2</w:t>
      </w:r>
      <w:r w:rsidRPr="00ED11D5">
        <w:t xml:space="preserve">: </w:t>
      </w:r>
      <w:r w:rsidR="00097C01" w:rsidRPr="000354D8">
        <w:t xml:space="preserve">Sprzęt medyczny </w:t>
      </w:r>
    </w:p>
    <w:p w14:paraId="49B63C6F" w14:textId="20ADD054" w:rsidR="00021B55" w:rsidRPr="00ED11D5" w:rsidRDefault="00021B55" w:rsidP="000E3089">
      <w:pPr>
        <w:pStyle w:val="Nagwek2"/>
        <w:spacing w:after="0"/>
      </w:pPr>
      <w:r w:rsidRPr="00ED11D5">
        <w:t xml:space="preserve">Specyfikacja nr </w:t>
      </w:r>
      <w:r w:rsidR="00175CB2">
        <w:t>9</w:t>
      </w:r>
      <w:r w:rsidRPr="00ED11D5">
        <w:t>:</w:t>
      </w:r>
      <w:r w:rsidR="00AD39DF" w:rsidRPr="00ED11D5">
        <w:t xml:space="preserve"> </w:t>
      </w:r>
      <w:r w:rsidR="00175CB2" w:rsidRPr="00175CB2">
        <w:t>Aparat KTG – 1 sztuka.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8211D8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8211D8" w:rsidRDefault="00E20DEF" w:rsidP="00E20DEF">
            <w:pPr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211D8">
              <w:rPr>
                <w:rFonts w:ascii="Calibri" w:hAnsi="Calibri" w:cs="Calibr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8211D8" w:rsidRDefault="00E20DEF" w:rsidP="00644FB2">
            <w:pPr>
              <w:pStyle w:val="Tekstkomentarza"/>
              <w:spacing w:line="276" w:lineRule="auto"/>
              <w:rPr>
                <w:rFonts w:ascii="Calibri" w:hAnsi="Calibri" w:cs="Calibri"/>
                <w:b w:val="0"/>
                <w:bCs w:val="0"/>
              </w:rPr>
            </w:pPr>
            <w:r w:rsidRPr="008211D8">
              <w:rPr>
                <w:rFonts w:ascii="Calibri" w:hAnsi="Calibri" w:cs="Calibri"/>
              </w:rPr>
              <w:t xml:space="preserve">Rodzaj </w:t>
            </w:r>
            <w:r w:rsidR="00DF71BA" w:rsidRPr="008211D8">
              <w:rPr>
                <w:rFonts w:ascii="Calibri" w:hAnsi="Calibri" w:cs="Calibri"/>
              </w:rPr>
              <w:t>sprzętu</w:t>
            </w:r>
            <w:r w:rsidRPr="008211D8">
              <w:rPr>
                <w:rFonts w:ascii="Calibri" w:hAnsi="Calibri" w:cs="Calibri"/>
              </w:rPr>
              <w:t xml:space="preserve"> / Parametry i funkcjonalności wymagan</w:t>
            </w:r>
            <w:r w:rsidR="00DF71BA" w:rsidRPr="008211D8">
              <w:rPr>
                <w:rFonts w:ascii="Calibri" w:hAnsi="Calibri" w:cs="Calibri"/>
              </w:rPr>
              <w:t>e</w:t>
            </w:r>
            <w:r w:rsidRPr="008211D8">
              <w:rPr>
                <w:rFonts w:ascii="Calibri" w:hAnsi="Calibri" w:cs="Calibr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8211D8" w:rsidRDefault="00E20DEF" w:rsidP="00980A11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211D8">
              <w:rPr>
                <w:rFonts w:ascii="Calibri" w:hAnsi="Calibri" w:cs="Calibri"/>
                <w:b/>
                <w:sz w:val="24"/>
                <w:szCs w:val="24"/>
              </w:rPr>
              <w:t xml:space="preserve">Rodzaj / Oznaczenie / Parametry i funkcjonalności </w:t>
            </w:r>
            <w:r w:rsidRPr="008211D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oferowanego </w:t>
            </w:r>
            <w:r w:rsidR="00DF71BA" w:rsidRPr="008211D8">
              <w:rPr>
                <w:rFonts w:ascii="Calibri" w:hAnsi="Calibri" w:cs="Calibr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8211D8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8211D8" w:rsidRDefault="00E20DEF" w:rsidP="00E20DEF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49D01CD2" w:rsidR="00E20DEF" w:rsidRPr="008211D8" w:rsidRDefault="00621B70" w:rsidP="00644FB2">
            <w:pPr>
              <w:pStyle w:val="Tekstkomentarza"/>
              <w:spacing w:line="276" w:lineRule="auto"/>
              <w:rPr>
                <w:rFonts w:ascii="Calibri" w:hAnsi="Calibri" w:cs="Calibri"/>
                <w:b w:val="0"/>
                <w:bCs w:val="0"/>
              </w:rPr>
            </w:pPr>
            <w:r w:rsidRPr="008211D8">
              <w:rPr>
                <w:rFonts w:ascii="Calibri" w:hAnsi="Calibri" w:cs="Calibri"/>
                <w:b w:val="0"/>
                <w:bCs w:val="0"/>
              </w:rPr>
              <w:t>Aparat KTG</w:t>
            </w:r>
          </w:p>
        </w:tc>
        <w:tc>
          <w:tcPr>
            <w:tcW w:w="3824" w:type="dxa"/>
          </w:tcPr>
          <w:p w14:paraId="4F3D2895" w14:textId="77777777" w:rsidR="00430AA8" w:rsidRPr="008211D8" w:rsidRDefault="00430AA8" w:rsidP="00430AA8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Producent:_________ (należy podać)</w:t>
            </w:r>
          </w:p>
          <w:p w14:paraId="3F005612" w14:textId="784AB42B" w:rsidR="00E20DEF" w:rsidRPr="008211D8" w:rsidRDefault="00430AA8" w:rsidP="00430AA8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Model:_________ (należy podać)</w:t>
            </w:r>
          </w:p>
        </w:tc>
      </w:tr>
      <w:tr w:rsidR="00621B70" w:rsidRPr="008211D8" w14:paraId="321D37CF" w14:textId="77777777" w:rsidTr="00B76741">
        <w:tc>
          <w:tcPr>
            <w:tcW w:w="704" w:type="dxa"/>
            <w:vAlign w:val="center"/>
          </w:tcPr>
          <w:p w14:paraId="75EA4C8E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DDA5" w14:textId="00C784C3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Aparat służący do ciągłego, nieinwazyjnego monitorowania i rejestracji czynności serca płodu. Metoda pomiarowa FHR Ultradźwiękowy Doppler pulsacyjny. Metoda pomiarowa Toco Tensometryczna</w:t>
            </w:r>
          </w:p>
        </w:tc>
        <w:tc>
          <w:tcPr>
            <w:tcW w:w="3824" w:type="dxa"/>
          </w:tcPr>
          <w:p w14:paraId="13C259E9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sz w:val="24"/>
                <w:szCs w:val="24"/>
              </w:rPr>
              <w:t>Tak/Nie</w:t>
            </w:r>
          </w:p>
          <w:p w14:paraId="1EDD7D50" w14:textId="21FFFFEF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483B87F7" w14:textId="77777777" w:rsidTr="00B76741">
        <w:tc>
          <w:tcPr>
            <w:tcW w:w="704" w:type="dxa"/>
            <w:vAlign w:val="center"/>
          </w:tcPr>
          <w:p w14:paraId="25F2E08F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980D" w14:textId="013CE8A3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Możliwe monitorowanie ruchów płodu za pomocą znacznika ruchów płodu oraz automatycznie</w:t>
            </w:r>
          </w:p>
        </w:tc>
        <w:tc>
          <w:tcPr>
            <w:tcW w:w="3824" w:type="dxa"/>
          </w:tcPr>
          <w:p w14:paraId="7B79D3FF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B708F70" w14:textId="0BC6E4BC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36C938EC" w14:textId="77777777" w:rsidTr="00B76741">
        <w:tc>
          <w:tcPr>
            <w:tcW w:w="704" w:type="dxa"/>
            <w:vAlign w:val="center"/>
          </w:tcPr>
          <w:p w14:paraId="2EDBE520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C0A9" w14:textId="18B566BF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Aparat służący do monitorowania zarówno ciąży pojedynczej jak i bliźniaczej. Weryfikacja nakładających się sygnałów podczas monitorowania bliźniąt</w:t>
            </w:r>
          </w:p>
        </w:tc>
        <w:tc>
          <w:tcPr>
            <w:tcW w:w="3824" w:type="dxa"/>
          </w:tcPr>
          <w:p w14:paraId="45AFC9ED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ECA6D1F" w14:textId="03E25049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24808D56" w14:textId="77777777" w:rsidTr="00B76741">
        <w:tc>
          <w:tcPr>
            <w:tcW w:w="704" w:type="dxa"/>
            <w:vAlign w:val="center"/>
          </w:tcPr>
          <w:p w14:paraId="6099768C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B744" w14:textId="02336ED7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Komputerowa analiza zapisu KTG w języku polskim. Obliczanie zmienności długoterminowej LTV [bpm], krótkoterminowej STV [ms], ilości akceleracji, deceleracji, skurczów. </w:t>
            </w:r>
          </w:p>
        </w:tc>
        <w:tc>
          <w:tcPr>
            <w:tcW w:w="3824" w:type="dxa"/>
          </w:tcPr>
          <w:p w14:paraId="6102F3D2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DF03DD3" w14:textId="495097DB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4D39B0D2" w14:textId="77777777" w:rsidTr="00B76741">
        <w:tc>
          <w:tcPr>
            <w:tcW w:w="704" w:type="dxa"/>
            <w:vAlign w:val="center"/>
          </w:tcPr>
          <w:p w14:paraId="72BAF33B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1A38" w14:textId="0A2FD0D7" w:rsidR="00621B70" w:rsidRPr="008211D8" w:rsidRDefault="00621B70" w:rsidP="00621B70">
            <w:pPr>
              <w:pStyle w:val="Standard"/>
              <w:widowControl w:val="0"/>
              <w:spacing w:line="276" w:lineRule="auto"/>
              <w:rPr>
                <w:rFonts w:cs="Calibri"/>
                <w:sz w:val="24"/>
                <w:szCs w:val="24"/>
              </w:rPr>
            </w:pPr>
            <w:r w:rsidRPr="008211D8">
              <w:rPr>
                <w:rFonts w:cs="Calibri"/>
                <w:color w:val="000000"/>
                <w:sz w:val="24"/>
                <w:szCs w:val="24"/>
              </w:rPr>
              <w:t>Kompaktowa obudowa aparatu, waga ≤6,5 kg, możliwość zamocowania aparatu na ścianie oraz na wózku jednym, możliwość zawieszenia głowic na uchwytach przy aparacie</w:t>
            </w:r>
          </w:p>
        </w:tc>
        <w:tc>
          <w:tcPr>
            <w:tcW w:w="3824" w:type="dxa"/>
          </w:tcPr>
          <w:p w14:paraId="18453062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60F8A4D" w14:textId="315DD660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75CC69DD" w14:textId="77777777" w:rsidTr="00B76741">
        <w:tc>
          <w:tcPr>
            <w:tcW w:w="704" w:type="dxa"/>
            <w:vAlign w:val="center"/>
          </w:tcPr>
          <w:p w14:paraId="392C723C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351F" w14:textId="676B6FB5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Obsługa aparatu za pomocą ekranu dotykowego.</w:t>
            </w:r>
          </w:p>
        </w:tc>
        <w:tc>
          <w:tcPr>
            <w:tcW w:w="3824" w:type="dxa"/>
          </w:tcPr>
          <w:p w14:paraId="0857F6A9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8CA5931" w14:textId="319E5570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22B4E580" w14:textId="77777777" w:rsidTr="00B76741">
        <w:tc>
          <w:tcPr>
            <w:tcW w:w="704" w:type="dxa"/>
            <w:vAlign w:val="center"/>
          </w:tcPr>
          <w:p w14:paraId="5A338B82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D32C" w14:textId="1FA9504B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Ekran składany z możliwością regulacji pochylenia ekranu 0-60 [stopni]</w:t>
            </w:r>
          </w:p>
        </w:tc>
        <w:tc>
          <w:tcPr>
            <w:tcW w:w="3824" w:type="dxa"/>
          </w:tcPr>
          <w:p w14:paraId="480B0F3D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B00A489" w14:textId="6B5464B5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2167B58B" w14:textId="77777777" w:rsidTr="00B76741">
        <w:tc>
          <w:tcPr>
            <w:tcW w:w="704" w:type="dxa"/>
            <w:vAlign w:val="center"/>
          </w:tcPr>
          <w:p w14:paraId="10D52F27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1DD" w14:textId="4E938F7F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Dotykowy </w:t>
            </w:r>
            <w:r w:rsidR="00AF3ABC">
              <w:rPr>
                <w:rFonts w:ascii="Calibri" w:hAnsi="Calibri" w:cs="Calibri"/>
                <w:color w:val="000000"/>
                <w:sz w:val="24"/>
                <w:szCs w:val="24"/>
              </w:rPr>
              <w:t>e</w:t>
            </w: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kran LCD kolorowy o przekątnej powyżej 12 cali, rozdzielczość ekranu 800 x 600 [px], Interfejs w języku polskim</w:t>
            </w:r>
          </w:p>
        </w:tc>
        <w:tc>
          <w:tcPr>
            <w:tcW w:w="3824" w:type="dxa"/>
          </w:tcPr>
          <w:p w14:paraId="092F42B4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54DB6B9" w14:textId="751EB40D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4A7F5B80" w14:textId="77777777" w:rsidTr="00B76741">
        <w:tc>
          <w:tcPr>
            <w:tcW w:w="704" w:type="dxa"/>
            <w:vAlign w:val="center"/>
          </w:tcPr>
          <w:p w14:paraId="22AC6346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CBC" w14:textId="118AF08E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Do wyboru różne kolory tła ekranu</w:t>
            </w:r>
          </w:p>
        </w:tc>
        <w:tc>
          <w:tcPr>
            <w:tcW w:w="3824" w:type="dxa"/>
          </w:tcPr>
          <w:p w14:paraId="76535331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36A27A2" w14:textId="75AB6766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2AD2BD74" w14:textId="77777777" w:rsidTr="00B76741">
        <w:tc>
          <w:tcPr>
            <w:tcW w:w="704" w:type="dxa"/>
            <w:vAlign w:val="center"/>
          </w:tcPr>
          <w:p w14:paraId="1CE322DA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B79F" w14:textId="1A3B3FD2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Wyświetlanie na kolorowym ekranie jednocześnie trendów (zarówno FHR jak i TOCO) oraz wartości numerycznych (FHR i TOCO)</w:t>
            </w:r>
          </w:p>
        </w:tc>
        <w:tc>
          <w:tcPr>
            <w:tcW w:w="3824" w:type="dxa"/>
          </w:tcPr>
          <w:p w14:paraId="75C37498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2DD31F7" w14:textId="665CE892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2DD85ED3" w14:textId="77777777" w:rsidTr="00B76741">
        <w:tc>
          <w:tcPr>
            <w:tcW w:w="704" w:type="dxa"/>
            <w:vAlign w:val="center"/>
          </w:tcPr>
          <w:p w14:paraId="71BAD431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5FD4" w14:textId="6E0C12A9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Wskaźnik jakości sygnału, stanu naładowania baterii (w przypadku korzystania z zasilania bateryjnego)</w:t>
            </w:r>
          </w:p>
        </w:tc>
        <w:tc>
          <w:tcPr>
            <w:tcW w:w="3824" w:type="dxa"/>
          </w:tcPr>
          <w:p w14:paraId="5571079D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D47FD97" w14:textId="6C3DEE7F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6E83A21B" w14:textId="77777777" w:rsidTr="00B76741">
        <w:tc>
          <w:tcPr>
            <w:tcW w:w="704" w:type="dxa"/>
            <w:vAlign w:val="center"/>
          </w:tcPr>
          <w:p w14:paraId="60BA9DBE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5ABC" w14:textId="6034C026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Możliwość ustawienia przez użytkownika wartości podstawowej TOCO (5,10, 15, 20 jednostek) </w:t>
            </w:r>
          </w:p>
        </w:tc>
        <w:tc>
          <w:tcPr>
            <w:tcW w:w="3824" w:type="dxa"/>
          </w:tcPr>
          <w:p w14:paraId="011D4ABF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69FE0E5" w14:textId="5BC932D7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56BEDFF9" w14:textId="77777777" w:rsidTr="00A155F0">
        <w:tc>
          <w:tcPr>
            <w:tcW w:w="704" w:type="dxa"/>
            <w:vAlign w:val="center"/>
          </w:tcPr>
          <w:p w14:paraId="4AEEDBD2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E46D" w14:textId="62BC5B3A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Możliwość ustawienia skali wyświetlania trendów FHR: 30-240 [bpm] oraz 50-210 [bpm]. </w:t>
            </w:r>
          </w:p>
        </w:tc>
        <w:tc>
          <w:tcPr>
            <w:tcW w:w="3824" w:type="dxa"/>
          </w:tcPr>
          <w:p w14:paraId="1C840DFC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10EFAF9" w14:textId="1119503F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4FC7BB22" w14:textId="77777777" w:rsidTr="00AD325E">
        <w:tc>
          <w:tcPr>
            <w:tcW w:w="704" w:type="dxa"/>
            <w:vAlign w:val="center"/>
          </w:tcPr>
          <w:p w14:paraId="73A3322A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65E0" w14:textId="6F04AFB6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Wyświetlany zakres sygnału TOCO 0-100 [%]</w:t>
            </w:r>
          </w:p>
        </w:tc>
        <w:tc>
          <w:tcPr>
            <w:tcW w:w="3824" w:type="dxa"/>
          </w:tcPr>
          <w:p w14:paraId="2AF19CC4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0F91C83" w14:textId="1217CA72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5AAE838C" w14:textId="77777777" w:rsidTr="00A155F0">
        <w:tc>
          <w:tcPr>
            <w:tcW w:w="704" w:type="dxa"/>
            <w:vAlign w:val="center"/>
          </w:tcPr>
          <w:p w14:paraId="3C62F69F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017C" w14:textId="0DCCE19F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Głowice Cardio wodoodporne, min. 12 kryształowe</w:t>
            </w:r>
          </w:p>
        </w:tc>
        <w:tc>
          <w:tcPr>
            <w:tcW w:w="3824" w:type="dxa"/>
          </w:tcPr>
          <w:p w14:paraId="39D4963F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AF1D613" w14:textId="2B94C37B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252C5595" w14:textId="77777777" w:rsidTr="00A155F0">
        <w:tc>
          <w:tcPr>
            <w:tcW w:w="704" w:type="dxa"/>
            <w:vAlign w:val="center"/>
          </w:tcPr>
          <w:p w14:paraId="73F97A62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EA5A" w14:textId="21F3C813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Zakres pomiaru FHR z głowicy Cardio 50-240 [bpm], dokładność pomiaru FHR z głowicy Cardio +/- 1 bpm</w:t>
            </w:r>
          </w:p>
        </w:tc>
        <w:tc>
          <w:tcPr>
            <w:tcW w:w="3824" w:type="dxa"/>
          </w:tcPr>
          <w:p w14:paraId="64F3E32C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0A35623" w14:textId="7B5F0405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62EF2AD5" w14:textId="77777777" w:rsidTr="00A155F0">
        <w:tc>
          <w:tcPr>
            <w:tcW w:w="704" w:type="dxa"/>
            <w:vAlign w:val="center"/>
          </w:tcPr>
          <w:p w14:paraId="30DBF8F1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F7CB" w14:textId="204F5007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Częstość powtarzania ≥2 kHz</w:t>
            </w:r>
          </w:p>
        </w:tc>
        <w:tc>
          <w:tcPr>
            <w:tcW w:w="3824" w:type="dxa"/>
          </w:tcPr>
          <w:p w14:paraId="503DB24C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07D3C9BE" w14:textId="69EDE174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3F5B94DF" w14:textId="77777777" w:rsidTr="00A155F0">
        <w:tc>
          <w:tcPr>
            <w:tcW w:w="704" w:type="dxa"/>
            <w:vAlign w:val="center"/>
          </w:tcPr>
          <w:p w14:paraId="0C4B0FAE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3664" w14:textId="1DBDEF31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Głowica Cardio o częstotliwości 1,0 [MHz]</w:t>
            </w:r>
          </w:p>
        </w:tc>
        <w:tc>
          <w:tcPr>
            <w:tcW w:w="3824" w:type="dxa"/>
          </w:tcPr>
          <w:p w14:paraId="2934F889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B246C4C" w14:textId="702F5F75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36E99ADA" w14:textId="77777777" w:rsidTr="00A155F0">
        <w:tc>
          <w:tcPr>
            <w:tcW w:w="704" w:type="dxa"/>
            <w:vAlign w:val="center"/>
          </w:tcPr>
          <w:p w14:paraId="54FFF3D7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5798" w14:textId="1A8DEBB1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Natężenie emitowanej fali US ≤ 3,6 mW/cm2</w:t>
            </w:r>
          </w:p>
        </w:tc>
        <w:tc>
          <w:tcPr>
            <w:tcW w:w="3824" w:type="dxa"/>
          </w:tcPr>
          <w:p w14:paraId="3202BC39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B3F4FEA" w14:textId="2DFBB5A5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6A0ED519" w14:textId="77777777" w:rsidTr="00A155F0">
        <w:tc>
          <w:tcPr>
            <w:tcW w:w="704" w:type="dxa"/>
            <w:vAlign w:val="center"/>
          </w:tcPr>
          <w:p w14:paraId="3AE664AD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25A1" w14:textId="5197A451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Głowice TOCO wodoodporne, stopień ochrony IPX8</w:t>
            </w:r>
          </w:p>
        </w:tc>
        <w:tc>
          <w:tcPr>
            <w:tcW w:w="3824" w:type="dxa"/>
          </w:tcPr>
          <w:p w14:paraId="5D7D53AE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DFD50BB" w14:textId="2C0032EC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6D1339FB" w14:textId="77777777" w:rsidTr="00A155F0">
        <w:tc>
          <w:tcPr>
            <w:tcW w:w="704" w:type="dxa"/>
            <w:vAlign w:val="center"/>
          </w:tcPr>
          <w:p w14:paraId="5611FEA4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BC43" w14:textId="4187880D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Zakres pomiaru TOCO 0 - 100 [%], Błąd nieliniowości głowicy TOCO ≤ 10 [%]</w:t>
            </w:r>
          </w:p>
        </w:tc>
        <w:tc>
          <w:tcPr>
            <w:tcW w:w="3824" w:type="dxa"/>
          </w:tcPr>
          <w:p w14:paraId="1A5A813A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5DD1248" w14:textId="1D1C5747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0CF1E3B5" w14:textId="77777777" w:rsidTr="00A155F0">
        <w:tc>
          <w:tcPr>
            <w:tcW w:w="704" w:type="dxa"/>
            <w:vAlign w:val="center"/>
          </w:tcPr>
          <w:p w14:paraId="15A44C9F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1BBE" w14:textId="077B1F49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Automatyczne i manualne zerowanie TOCO</w:t>
            </w:r>
          </w:p>
        </w:tc>
        <w:tc>
          <w:tcPr>
            <w:tcW w:w="3824" w:type="dxa"/>
          </w:tcPr>
          <w:p w14:paraId="739C27C5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06139C3" w14:textId="48AEA395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44C9F9E8" w14:textId="77777777" w:rsidTr="00A155F0">
        <w:tc>
          <w:tcPr>
            <w:tcW w:w="704" w:type="dxa"/>
            <w:vAlign w:val="center"/>
          </w:tcPr>
          <w:p w14:paraId="36B93F84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D99" w14:textId="196BEEB7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/>
                <w:sz w:val="24"/>
                <w:szCs w:val="24"/>
              </w:rPr>
              <w:t>Automatyczne rozpoznawanie podpięcia przetwornika.</w:t>
            </w:r>
          </w:p>
        </w:tc>
        <w:tc>
          <w:tcPr>
            <w:tcW w:w="3824" w:type="dxa"/>
          </w:tcPr>
          <w:p w14:paraId="2EF3BE87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08CD3DD6" w14:textId="57E104A1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350B8FFB" w14:textId="77777777" w:rsidTr="00A155F0">
        <w:tc>
          <w:tcPr>
            <w:tcW w:w="704" w:type="dxa"/>
            <w:vAlign w:val="center"/>
          </w:tcPr>
          <w:p w14:paraId="138517D8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75C8" w14:textId="5CB1A8FD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Możliwość przenoszenia głowic pomiędzy aparatami tego modelu</w:t>
            </w:r>
          </w:p>
        </w:tc>
        <w:tc>
          <w:tcPr>
            <w:tcW w:w="3824" w:type="dxa"/>
          </w:tcPr>
          <w:p w14:paraId="1FC8D287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AE38253" w14:textId="7641463A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21A7DCBB" w14:textId="77777777" w:rsidTr="00A155F0">
        <w:tc>
          <w:tcPr>
            <w:tcW w:w="704" w:type="dxa"/>
            <w:vAlign w:val="center"/>
          </w:tcPr>
          <w:p w14:paraId="6D103137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0929" w14:textId="4D7C3F41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Wprowadzanie i wydruk notatek. Możliwość samodzielnej konfiguracji notatek</w:t>
            </w:r>
          </w:p>
        </w:tc>
        <w:tc>
          <w:tcPr>
            <w:tcW w:w="3824" w:type="dxa"/>
          </w:tcPr>
          <w:p w14:paraId="7CE24091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D953F3D" w14:textId="0ED3F32A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4C1A0BAA" w14:textId="77777777" w:rsidTr="00A155F0">
        <w:tc>
          <w:tcPr>
            <w:tcW w:w="704" w:type="dxa"/>
            <w:vAlign w:val="center"/>
          </w:tcPr>
          <w:p w14:paraId="3FCBB60B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A21C" w14:textId="4DA13B77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Alarm dźwiękowy i wizualny. Widoczny na ekranie znacznik pojawienia się alarmu bradykardii i tachykardii</w:t>
            </w:r>
          </w:p>
        </w:tc>
        <w:tc>
          <w:tcPr>
            <w:tcW w:w="3824" w:type="dxa"/>
          </w:tcPr>
          <w:p w14:paraId="2BDCD1EF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D3EC50A" w14:textId="516E7618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0AC81AF4" w14:textId="77777777" w:rsidTr="00B76741">
        <w:tc>
          <w:tcPr>
            <w:tcW w:w="704" w:type="dxa"/>
            <w:vAlign w:val="center"/>
          </w:tcPr>
          <w:p w14:paraId="1E3E5C57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3871" w14:textId="3D7324E3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Ustawienia zakresu alarmu dla bradykardii i tachykardii. Ustawienia dolnego progu i górnego progu z krokiem 5 [bpm]</w:t>
            </w:r>
          </w:p>
        </w:tc>
        <w:tc>
          <w:tcPr>
            <w:tcW w:w="3824" w:type="dxa"/>
          </w:tcPr>
          <w:p w14:paraId="0B363EDC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4A721CA" w14:textId="3B16343F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7BFFFAF5" w14:textId="77777777" w:rsidTr="00A155F0">
        <w:tc>
          <w:tcPr>
            <w:tcW w:w="704" w:type="dxa"/>
            <w:vAlign w:val="center"/>
          </w:tcPr>
          <w:p w14:paraId="39BEAA94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C27C" w14:textId="055AFE72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Ustawienie opóźnienia alarmu bradykardii, tachykardii oraz utraty sygnału, ustawiane krokiem 5 lub 10 sekundowym w zakresie 0-300 [s]</w:t>
            </w:r>
          </w:p>
        </w:tc>
        <w:tc>
          <w:tcPr>
            <w:tcW w:w="3824" w:type="dxa"/>
          </w:tcPr>
          <w:p w14:paraId="1C834D8F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90BFD45" w14:textId="744338EB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14A0C39A" w14:textId="77777777" w:rsidTr="00A155F0">
        <w:tc>
          <w:tcPr>
            <w:tcW w:w="704" w:type="dxa"/>
            <w:vAlign w:val="center"/>
          </w:tcPr>
          <w:p w14:paraId="264B805E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5743" w14:textId="329386D1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Możliwość wyłączenia dźwięku alarmu na czas 1, 2, 3 [min] oraz na stałe</w:t>
            </w:r>
          </w:p>
        </w:tc>
        <w:tc>
          <w:tcPr>
            <w:tcW w:w="3824" w:type="dxa"/>
          </w:tcPr>
          <w:p w14:paraId="7A8D79B3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E887943" w14:textId="2082B8F2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46D7B4DA" w14:textId="77777777" w:rsidTr="00A155F0">
        <w:tc>
          <w:tcPr>
            <w:tcW w:w="704" w:type="dxa"/>
            <w:vAlign w:val="center"/>
          </w:tcPr>
          <w:p w14:paraId="767CB0A0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E77B" w14:textId="45E16467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Historia alarmów z informacją o czasie i przyczynie pojawienia się alarmu wyświetlana na ekranie </w:t>
            </w:r>
          </w:p>
        </w:tc>
        <w:tc>
          <w:tcPr>
            <w:tcW w:w="3824" w:type="dxa"/>
          </w:tcPr>
          <w:p w14:paraId="463CDBE8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A0D2F2D" w14:textId="27CD1FA3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1153E77D" w14:textId="77777777" w:rsidTr="00A155F0">
        <w:tc>
          <w:tcPr>
            <w:tcW w:w="704" w:type="dxa"/>
            <w:vAlign w:val="center"/>
          </w:tcPr>
          <w:p w14:paraId="5C41F16D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C174" w14:textId="60A7D079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Funkcja ciągłego monitorowania przez 24 godziny. Zapis w archiwum całego badania z możliwością odtworzenia na ekranie wykresów oraz wydruku na drukarce termicznej z szybką prędkością</w:t>
            </w:r>
          </w:p>
        </w:tc>
        <w:tc>
          <w:tcPr>
            <w:tcW w:w="3824" w:type="dxa"/>
          </w:tcPr>
          <w:p w14:paraId="214B84E5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8257DB2" w14:textId="6935FC90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0E9DB989" w14:textId="77777777" w:rsidTr="00A155F0">
        <w:tc>
          <w:tcPr>
            <w:tcW w:w="704" w:type="dxa"/>
            <w:vAlign w:val="center"/>
          </w:tcPr>
          <w:p w14:paraId="5AE4675F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3DD" w14:textId="0999CC29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Pamięć archiwum min.  24 h zapisów. Funkcja wyszukiwania archiwalnego zapisu na podstawie wprowadzonego ID pacjenta lub nazwy</w:t>
            </w:r>
          </w:p>
        </w:tc>
        <w:tc>
          <w:tcPr>
            <w:tcW w:w="3824" w:type="dxa"/>
          </w:tcPr>
          <w:p w14:paraId="3DD0A4F8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25B2B6C" w14:textId="085583A2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59EE302F" w14:textId="77777777" w:rsidTr="00AD325E">
        <w:tc>
          <w:tcPr>
            <w:tcW w:w="704" w:type="dxa"/>
            <w:vAlign w:val="center"/>
          </w:tcPr>
          <w:p w14:paraId="53E37471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EB51" w14:textId="6C39E622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Wbudowana drukarka termiczna. Standardowe prędkości przesuwania papieru 1,2 i 3 [cm/min], Duże prędkości wydruku (zapisy archiwalne) </w:t>
            </w:r>
          </w:p>
        </w:tc>
        <w:tc>
          <w:tcPr>
            <w:tcW w:w="3824" w:type="dxa"/>
          </w:tcPr>
          <w:p w14:paraId="646E97F4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6AE5B37" w14:textId="01C867A7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0D29A745" w14:textId="77777777" w:rsidTr="00AD325E">
        <w:tc>
          <w:tcPr>
            <w:tcW w:w="704" w:type="dxa"/>
            <w:vAlign w:val="center"/>
          </w:tcPr>
          <w:p w14:paraId="21BB67CC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C617" w14:textId="043E8AC2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W przypadku braku papieru w drukarce lub otwarcia szuflady automatyczny dodruk brakujących danych po włożeniu papieru i </w:t>
            </w: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zamknięciu szuflady. Pamięć w buforze min. 60 [min]</w:t>
            </w:r>
          </w:p>
        </w:tc>
        <w:tc>
          <w:tcPr>
            <w:tcW w:w="3824" w:type="dxa"/>
          </w:tcPr>
          <w:p w14:paraId="46D92BBA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1981370D" w14:textId="146F600E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3FF09339" w14:textId="77777777" w:rsidTr="00AD325E">
        <w:tc>
          <w:tcPr>
            <w:tcW w:w="704" w:type="dxa"/>
            <w:vAlign w:val="center"/>
          </w:tcPr>
          <w:p w14:paraId="1202C8BA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4610" w14:textId="6E5DF73C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Kompatybilność drukarki z papierem o szerokości 150 oraz 152 [mm]. Wydruk na papierze typu składanka Z. Drukarka kompatybilna ze skalą FHR: 30-240 [bpm] oraz 50-210 [bpm]</w:t>
            </w:r>
          </w:p>
        </w:tc>
        <w:tc>
          <w:tcPr>
            <w:tcW w:w="3824" w:type="dxa"/>
          </w:tcPr>
          <w:p w14:paraId="6A94C9E0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A1B9A05" w14:textId="691183FE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425BE31F" w14:textId="77777777" w:rsidTr="00AD325E">
        <w:tc>
          <w:tcPr>
            <w:tcW w:w="704" w:type="dxa"/>
            <w:vAlign w:val="center"/>
          </w:tcPr>
          <w:p w14:paraId="0B4CD0A5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02BD" w14:textId="25E2B2EF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Funkcja wydruku na papierze termicznym informacji o badaniu: ID oraz Nazwa pacjenta, trend FHR oraz TOCO, trend AFM lub znacznik AFM, ruch płodu ze znacznika ruchów płodu, znacznik zdarzeń, symbol automatycznego i ręcznego zerowania TOCO, data badania, ustawiona prędkość druku, Offset FHR2</w:t>
            </w:r>
          </w:p>
        </w:tc>
        <w:tc>
          <w:tcPr>
            <w:tcW w:w="3824" w:type="dxa"/>
          </w:tcPr>
          <w:p w14:paraId="66DD2A5F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4B8EDA5C" w14:textId="4DAF7C8A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32D51C25" w14:textId="77777777" w:rsidTr="00AD325E">
        <w:tc>
          <w:tcPr>
            <w:tcW w:w="704" w:type="dxa"/>
            <w:vAlign w:val="center"/>
          </w:tcPr>
          <w:p w14:paraId="557C1E9C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2D40" w14:textId="04F7314D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Gniazdo sieciowe RJ45, gniazdo USB, złącze DE-9 lub DE-15</w:t>
            </w:r>
          </w:p>
        </w:tc>
        <w:tc>
          <w:tcPr>
            <w:tcW w:w="3824" w:type="dxa"/>
          </w:tcPr>
          <w:p w14:paraId="5181C4BC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C67BD46" w14:textId="7A653689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1B7A8F80" w14:textId="77777777" w:rsidTr="00AD325E">
        <w:tc>
          <w:tcPr>
            <w:tcW w:w="704" w:type="dxa"/>
            <w:vAlign w:val="center"/>
          </w:tcPr>
          <w:p w14:paraId="34A578B4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733F" w14:textId="1A2B0C79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Współpraca z Systemami Nadzoru Okołoporodowego firm: EDAN, Huntleigh, Philips</w:t>
            </w:r>
          </w:p>
        </w:tc>
        <w:tc>
          <w:tcPr>
            <w:tcW w:w="3824" w:type="dxa"/>
          </w:tcPr>
          <w:p w14:paraId="5F763378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A961A44" w14:textId="54A16BA4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4344C19C" w14:textId="77777777" w:rsidTr="00AD325E">
        <w:tc>
          <w:tcPr>
            <w:tcW w:w="704" w:type="dxa"/>
            <w:vAlign w:val="center"/>
          </w:tcPr>
          <w:p w14:paraId="47DFF173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9B58" w14:textId="008A4BF6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Wbudowany Litowo-jonowy akumulator zapewniający ciągłą pracę bez zasilania sieciowego przez ≥2 godziny</w:t>
            </w:r>
          </w:p>
        </w:tc>
        <w:tc>
          <w:tcPr>
            <w:tcW w:w="3824" w:type="dxa"/>
          </w:tcPr>
          <w:p w14:paraId="3D472B7B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DDA859D" w14:textId="6E5BE772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4E37A244" w14:textId="77777777" w:rsidTr="00AD325E">
        <w:tc>
          <w:tcPr>
            <w:tcW w:w="704" w:type="dxa"/>
            <w:vAlign w:val="center"/>
          </w:tcPr>
          <w:p w14:paraId="3FC454F7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52A8" w14:textId="5490D337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Wskaźniki na ekranie: Alarm, ładowanie akumulatora, zasilanie sieciowe</w:t>
            </w:r>
          </w:p>
        </w:tc>
        <w:tc>
          <w:tcPr>
            <w:tcW w:w="3824" w:type="dxa"/>
          </w:tcPr>
          <w:p w14:paraId="1959AA27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0FFBE973" w14:textId="1FE14F25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7077D0C4" w14:textId="77777777" w:rsidTr="00AD325E">
        <w:tc>
          <w:tcPr>
            <w:tcW w:w="704" w:type="dxa"/>
            <w:vAlign w:val="center"/>
          </w:tcPr>
          <w:p w14:paraId="4758DB1A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4A77" w14:textId="5303BD52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Na wyposażeniu aparatu: 3 szt. papieru do drukarki termicznej o szerokości 150 [mm], 3x pas do KTG, żel, akumulator, głowica US - 2 szt., głowica TOCO 1 szt.</w:t>
            </w:r>
          </w:p>
        </w:tc>
        <w:tc>
          <w:tcPr>
            <w:tcW w:w="3824" w:type="dxa"/>
          </w:tcPr>
          <w:p w14:paraId="3779A130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F677EC9" w14:textId="50297039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21B70" w:rsidRPr="008211D8" w14:paraId="2E69BFCB" w14:textId="77777777" w:rsidTr="00AD325E">
        <w:tc>
          <w:tcPr>
            <w:tcW w:w="704" w:type="dxa"/>
            <w:vAlign w:val="center"/>
          </w:tcPr>
          <w:p w14:paraId="3F90D0D6" w14:textId="77777777" w:rsidR="00621B70" w:rsidRPr="008211D8" w:rsidRDefault="00621B70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6F4B" w14:textId="5182DE03" w:rsidR="00621B70" w:rsidRPr="008211D8" w:rsidRDefault="00621B70" w:rsidP="00621B70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Wózek do aparatu z koszykiem na akcesoria i blokadą kół. </w:t>
            </w:r>
          </w:p>
        </w:tc>
        <w:tc>
          <w:tcPr>
            <w:tcW w:w="3824" w:type="dxa"/>
          </w:tcPr>
          <w:p w14:paraId="2B9C5AAD" w14:textId="77777777" w:rsidR="0012566F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5C26A03" w14:textId="284F6C2D" w:rsidR="00621B70" w:rsidRPr="008211D8" w:rsidRDefault="0012566F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8211D8" w:rsidRPr="008211D8" w14:paraId="6B37A560" w14:textId="77777777" w:rsidTr="00AD325E">
        <w:tc>
          <w:tcPr>
            <w:tcW w:w="704" w:type="dxa"/>
            <w:vAlign w:val="center"/>
          </w:tcPr>
          <w:p w14:paraId="4815730C" w14:textId="77777777" w:rsidR="008211D8" w:rsidRPr="008211D8" w:rsidRDefault="008211D8" w:rsidP="00621B7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6614" w14:textId="544A8141" w:rsidR="008211D8" w:rsidRPr="008211D8" w:rsidRDefault="008211D8" w:rsidP="00621B70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211D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47A8B7D2" w14:textId="77777777" w:rsidR="008211D8" w:rsidRPr="008211D8" w:rsidRDefault="008211D8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6B7FB7C" w14:textId="7B729005" w:rsidR="008211D8" w:rsidRPr="008211D8" w:rsidRDefault="008211D8" w:rsidP="0012566F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211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6E3D6D" w:rsidRDefault="00C960A7" w:rsidP="006E3D6D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692A021" w14:textId="525C1722" w:rsidR="008A10FB" w:rsidRPr="008E1804" w:rsidRDefault="008A10FB" w:rsidP="008A10FB">
      <w:pPr>
        <w:pStyle w:val="Akapitzlist"/>
        <w:keepLines/>
        <w:numPr>
          <w:ilvl w:val="0"/>
          <w:numId w:val="4"/>
        </w:numPr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E1804">
        <w:rPr>
          <w:rFonts w:eastAsia="Times New Roman" w:cstheme="minorHAnsi"/>
          <w:bCs/>
          <w:sz w:val="24"/>
          <w:szCs w:val="24"/>
          <w:lang w:eastAsia="pl-PL"/>
        </w:rPr>
        <w:lastRenderedPageBreak/>
        <w:t>Poprawnie wypełniony formularz specyfikacji technicznej w kolumnie „</w:t>
      </w:r>
      <w:r w:rsidRPr="008E1804">
        <w:rPr>
          <w:rFonts w:cstheme="minorHAnsi"/>
          <w:sz w:val="24"/>
          <w:szCs w:val="24"/>
        </w:rPr>
        <w:t xml:space="preserve">Rodzaj / Oznaczenie / Parametry i funkcjonalności </w:t>
      </w:r>
      <w:r w:rsidRPr="008E1804">
        <w:rPr>
          <w:rFonts w:cstheme="minorHAnsi"/>
          <w:bCs/>
          <w:sz w:val="24"/>
          <w:szCs w:val="24"/>
        </w:rPr>
        <w:t xml:space="preserve">oferowanego </w:t>
      </w:r>
      <w:r>
        <w:rPr>
          <w:rFonts w:cstheme="minorHAnsi"/>
          <w:bCs/>
          <w:sz w:val="24"/>
          <w:szCs w:val="24"/>
        </w:rPr>
        <w:t>sprzętu</w:t>
      </w:r>
      <w:r w:rsidRPr="008E1804">
        <w:rPr>
          <w:rFonts w:eastAsia="Times New Roman" w:cstheme="minorHAns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8E1804">
        <w:rPr>
          <w:rFonts w:cstheme="minorHAnsi"/>
          <w:sz w:val="24"/>
          <w:szCs w:val="24"/>
        </w:rPr>
        <w:t xml:space="preserve">Rodzaj </w:t>
      </w:r>
      <w:r>
        <w:rPr>
          <w:rFonts w:cstheme="minorHAnsi"/>
          <w:sz w:val="24"/>
          <w:szCs w:val="24"/>
        </w:rPr>
        <w:t>sprzętu</w:t>
      </w:r>
      <w:r w:rsidRPr="008E1804">
        <w:rPr>
          <w:rFonts w:cstheme="minorHAnsi"/>
          <w:sz w:val="24"/>
          <w:szCs w:val="24"/>
        </w:rPr>
        <w:t xml:space="preserve"> / Parametry i funkcjonalności wymagane przez Zamawiającego”,</w:t>
      </w:r>
      <w:r w:rsidRPr="008E1804">
        <w:rPr>
          <w:rFonts w:eastAsia="Times New Roman" w:cstheme="minorHAns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8E180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8E1804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8E1804">
        <w:rPr>
          <w:rFonts w:eastAsia="Times New Roman" w:cstheme="minorHAnsi"/>
          <w:bCs/>
          <w:sz w:val="24"/>
          <w:szCs w:val="24"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8E1804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Calibri" w:cstheme="minorHAnsi"/>
          <w:sz w:val="24"/>
          <w:szCs w:val="24"/>
        </w:rPr>
      </w:pPr>
      <w:r w:rsidRPr="008E1804">
        <w:rPr>
          <w:rFonts w:eastAsia="Times New Roman" w:cstheme="minorHAns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8E1804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</w:p>
    <w:p w14:paraId="3CC1A3F0" w14:textId="77777777" w:rsidR="008A10FB" w:rsidRPr="008E1804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  <w:r w:rsidRPr="008E1804">
        <w:rPr>
          <w:rFonts w:cstheme="minorHAns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Default="00752782"/>
    <w:sectPr w:rsidR="007527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F2F23" w14:textId="77777777" w:rsidR="00AD38B5" w:rsidRDefault="00AD38B5" w:rsidP="0088002A">
      <w:pPr>
        <w:spacing w:after="0" w:line="240" w:lineRule="auto"/>
      </w:pPr>
      <w:r>
        <w:separator/>
      </w:r>
    </w:p>
  </w:endnote>
  <w:endnote w:type="continuationSeparator" w:id="0">
    <w:p w14:paraId="60191693" w14:textId="77777777" w:rsidR="00AD38B5" w:rsidRDefault="00AD38B5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79CA" w14:textId="77777777" w:rsidR="00EF2F98" w:rsidRDefault="00EF2F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430A" w14:textId="77777777" w:rsidR="00EF2F98" w:rsidRDefault="00EF2F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7ED9" w14:textId="77777777" w:rsidR="00EF2F98" w:rsidRDefault="00EF2F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CADD6" w14:textId="77777777" w:rsidR="00AD38B5" w:rsidRDefault="00AD38B5" w:rsidP="0088002A">
      <w:pPr>
        <w:spacing w:after="0" w:line="240" w:lineRule="auto"/>
      </w:pPr>
      <w:r>
        <w:separator/>
      </w:r>
    </w:p>
  </w:footnote>
  <w:footnote w:type="continuationSeparator" w:id="0">
    <w:p w14:paraId="047F4B44" w14:textId="77777777" w:rsidR="00AD38B5" w:rsidRDefault="00AD38B5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416A" w14:textId="77777777" w:rsidR="00EF2F98" w:rsidRDefault="00EF2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05600275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12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325F" w14:textId="77777777" w:rsidR="00EF2F98" w:rsidRDefault="00EF2F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05574"/>
    <w:multiLevelType w:val="hybridMultilevel"/>
    <w:tmpl w:val="0234E0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55A7B"/>
    <w:multiLevelType w:val="hybridMultilevel"/>
    <w:tmpl w:val="5100D3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D5E0E"/>
    <w:multiLevelType w:val="hybridMultilevel"/>
    <w:tmpl w:val="14E25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62349C"/>
    <w:multiLevelType w:val="hybridMultilevel"/>
    <w:tmpl w:val="DAAA5B0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9160332">
    <w:abstractNumId w:val="14"/>
  </w:num>
  <w:num w:numId="2" w16cid:durableId="777800921">
    <w:abstractNumId w:val="6"/>
  </w:num>
  <w:num w:numId="3" w16cid:durableId="1991061339">
    <w:abstractNumId w:val="13"/>
  </w:num>
  <w:num w:numId="4" w16cid:durableId="6856409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5"/>
  </w:num>
  <w:num w:numId="6" w16cid:durableId="1202211257">
    <w:abstractNumId w:val="1"/>
  </w:num>
  <w:num w:numId="7" w16cid:durableId="2065984404">
    <w:abstractNumId w:val="8"/>
  </w:num>
  <w:num w:numId="8" w16cid:durableId="21369695">
    <w:abstractNumId w:val="3"/>
  </w:num>
  <w:num w:numId="9" w16cid:durableId="765999801">
    <w:abstractNumId w:val="4"/>
  </w:num>
  <w:num w:numId="10" w16cid:durableId="1661621343">
    <w:abstractNumId w:val="16"/>
  </w:num>
  <w:num w:numId="11" w16cid:durableId="1452364063">
    <w:abstractNumId w:val="11"/>
  </w:num>
  <w:num w:numId="12" w16cid:durableId="1087969705">
    <w:abstractNumId w:val="7"/>
  </w:num>
  <w:num w:numId="13" w16cid:durableId="1366246634">
    <w:abstractNumId w:val="12"/>
  </w:num>
  <w:num w:numId="14" w16cid:durableId="208339962">
    <w:abstractNumId w:val="0"/>
  </w:num>
  <w:num w:numId="15" w16cid:durableId="943996655">
    <w:abstractNumId w:val="18"/>
  </w:num>
  <w:num w:numId="16" w16cid:durableId="213154171">
    <w:abstractNumId w:val="19"/>
  </w:num>
  <w:num w:numId="17" w16cid:durableId="515655962">
    <w:abstractNumId w:val="10"/>
  </w:num>
  <w:num w:numId="18" w16cid:durableId="1193765024">
    <w:abstractNumId w:val="9"/>
  </w:num>
  <w:num w:numId="19" w16cid:durableId="1213693687">
    <w:abstractNumId w:val="17"/>
  </w:num>
  <w:num w:numId="20" w16cid:durableId="1056464600">
    <w:abstractNumId w:val="2"/>
  </w:num>
  <w:num w:numId="21" w16cid:durableId="13735341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1B55"/>
    <w:rsid w:val="0002667E"/>
    <w:rsid w:val="00027572"/>
    <w:rsid w:val="000310E6"/>
    <w:rsid w:val="000354D8"/>
    <w:rsid w:val="00050A19"/>
    <w:rsid w:val="00057E93"/>
    <w:rsid w:val="000758B6"/>
    <w:rsid w:val="00082D25"/>
    <w:rsid w:val="00097C01"/>
    <w:rsid w:val="000D02C6"/>
    <w:rsid w:val="000E3089"/>
    <w:rsid w:val="001004B3"/>
    <w:rsid w:val="0011040F"/>
    <w:rsid w:val="0012566F"/>
    <w:rsid w:val="00126F8F"/>
    <w:rsid w:val="00137D19"/>
    <w:rsid w:val="0017291A"/>
    <w:rsid w:val="00175CB2"/>
    <w:rsid w:val="00180AB0"/>
    <w:rsid w:val="001859E0"/>
    <w:rsid w:val="001A6410"/>
    <w:rsid w:val="001C3A85"/>
    <w:rsid w:val="001D74D6"/>
    <w:rsid w:val="001F09F3"/>
    <w:rsid w:val="001F5584"/>
    <w:rsid w:val="00222F40"/>
    <w:rsid w:val="0023705F"/>
    <w:rsid w:val="002523D4"/>
    <w:rsid w:val="00256F2D"/>
    <w:rsid w:val="00296569"/>
    <w:rsid w:val="002A64B9"/>
    <w:rsid w:val="00304E1E"/>
    <w:rsid w:val="00313747"/>
    <w:rsid w:val="00364B20"/>
    <w:rsid w:val="0038749B"/>
    <w:rsid w:val="003A41AE"/>
    <w:rsid w:val="003D100B"/>
    <w:rsid w:val="003F3007"/>
    <w:rsid w:val="0041056B"/>
    <w:rsid w:val="00411796"/>
    <w:rsid w:val="00430AA8"/>
    <w:rsid w:val="00463C30"/>
    <w:rsid w:val="00471B05"/>
    <w:rsid w:val="004D6D72"/>
    <w:rsid w:val="004E6060"/>
    <w:rsid w:val="004E72F1"/>
    <w:rsid w:val="0051298C"/>
    <w:rsid w:val="00520A2F"/>
    <w:rsid w:val="00531740"/>
    <w:rsid w:val="00534E24"/>
    <w:rsid w:val="00545F48"/>
    <w:rsid w:val="00553288"/>
    <w:rsid w:val="00555838"/>
    <w:rsid w:val="0055627A"/>
    <w:rsid w:val="005627AD"/>
    <w:rsid w:val="005931DE"/>
    <w:rsid w:val="005944A5"/>
    <w:rsid w:val="005C20ED"/>
    <w:rsid w:val="005C7F91"/>
    <w:rsid w:val="005E66E4"/>
    <w:rsid w:val="00621B70"/>
    <w:rsid w:val="00644FB2"/>
    <w:rsid w:val="00647DDF"/>
    <w:rsid w:val="00653ED5"/>
    <w:rsid w:val="006656F1"/>
    <w:rsid w:val="006A2D4D"/>
    <w:rsid w:val="006A477A"/>
    <w:rsid w:val="006B4843"/>
    <w:rsid w:val="006C7FE6"/>
    <w:rsid w:val="006E3D6D"/>
    <w:rsid w:val="006E43CF"/>
    <w:rsid w:val="006F041A"/>
    <w:rsid w:val="006F0859"/>
    <w:rsid w:val="006F1ACE"/>
    <w:rsid w:val="00720B75"/>
    <w:rsid w:val="00727F1E"/>
    <w:rsid w:val="00743545"/>
    <w:rsid w:val="00752339"/>
    <w:rsid w:val="00752782"/>
    <w:rsid w:val="0078174B"/>
    <w:rsid w:val="007926D6"/>
    <w:rsid w:val="007A35CA"/>
    <w:rsid w:val="007C2BCC"/>
    <w:rsid w:val="007C45C7"/>
    <w:rsid w:val="007D4B81"/>
    <w:rsid w:val="007D79F6"/>
    <w:rsid w:val="007E18B2"/>
    <w:rsid w:val="00803B32"/>
    <w:rsid w:val="00815619"/>
    <w:rsid w:val="008211D8"/>
    <w:rsid w:val="008305AD"/>
    <w:rsid w:val="0088002A"/>
    <w:rsid w:val="008A10FB"/>
    <w:rsid w:val="008B160C"/>
    <w:rsid w:val="008E116C"/>
    <w:rsid w:val="008E695D"/>
    <w:rsid w:val="008F5A66"/>
    <w:rsid w:val="008F68AC"/>
    <w:rsid w:val="00902BBB"/>
    <w:rsid w:val="00923F98"/>
    <w:rsid w:val="00925C81"/>
    <w:rsid w:val="00937F91"/>
    <w:rsid w:val="0097090D"/>
    <w:rsid w:val="00974372"/>
    <w:rsid w:val="00981313"/>
    <w:rsid w:val="009933F4"/>
    <w:rsid w:val="009A68D7"/>
    <w:rsid w:val="009C68D4"/>
    <w:rsid w:val="009D6E19"/>
    <w:rsid w:val="00A2243B"/>
    <w:rsid w:val="00A2357E"/>
    <w:rsid w:val="00A57DC2"/>
    <w:rsid w:val="00A700D0"/>
    <w:rsid w:val="00A741C1"/>
    <w:rsid w:val="00A747F8"/>
    <w:rsid w:val="00A75BA7"/>
    <w:rsid w:val="00AD38B5"/>
    <w:rsid w:val="00AD39DF"/>
    <w:rsid w:val="00AD6933"/>
    <w:rsid w:val="00AF3ABC"/>
    <w:rsid w:val="00B17611"/>
    <w:rsid w:val="00B530A9"/>
    <w:rsid w:val="00B90D0C"/>
    <w:rsid w:val="00BA7324"/>
    <w:rsid w:val="00BB46E4"/>
    <w:rsid w:val="00BC45A0"/>
    <w:rsid w:val="00BE1F39"/>
    <w:rsid w:val="00BF68AA"/>
    <w:rsid w:val="00C155CC"/>
    <w:rsid w:val="00C32AF7"/>
    <w:rsid w:val="00C52EF9"/>
    <w:rsid w:val="00C960A7"/>
    <w:rsid w:val="00CA51FB"/>
    <w:rsid w:val="00CA5383"/>
    <w:rsid w:val="00CC1250"/>
    <w:rsid w:val="00CC3F5A"/>
    <w:rsid w:val="00CC430B"/>
    <w:rsid w:val="00CF55DF"/>
    <w:rsid w:val="00D04EA1"/>
    <w:rsid w:val="00D0505E"/>
    <w:rsid w:val="00D2235E"/>
    <w:rsid w:val="00D3523C"/>
    <w:rsid w:val="00D365CC"/>
    <w:rsid w:val="00D8762B"/>
    <w:rsid w:val="00D95C6C"/>
    <w:rsid w:val="00DF6F14"/>
    <w:rsid w:val="00DF71BA"/>
    <w:rsid w:val="00E16E72"/>
    <w:rsid w:val="00E20DEF"/>
    <w:rsid w:val="00E318C2"/>
    <w:rsid w:val="00E33C6F"/>
    <w:rsid w:val="00E34974"/>
    <w:rsid w:val="00E42569"/>
    <w:rsid w:val="00E478EE"/>
    <w:rsid w:val="00EA578D"/>
    <w:rsid w:val="00EB3D34"/>
    <w:rsid w:val="00ED11D5"/>
    <w:rsid w:val="00EF2F98"/>
    <w:rsid w:val="00F150E4"/>
    <w:rsid w:val="00F45AF4"/>
    <w:rsid w:val="00F558C0"/>
    <w:rsid w:val="00F70E7D"/>
    <w:rsid w:val="00F845BE"/>
    <w:rsid w:val="00FD3AED"/>
    <w:rsid w:val="00FE10DE"/>
    <w:rsid w:val="00FE21DE"/>
    <w:rsid w:val="00FF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1151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10</cp:revision>
  <dcterms:created xsi:type="dcterms:W3CDTF">2026-04-07T08:48:00Z</dcterms:created>
  <dcterms:modified xsi:type="dcterms:W3CDTF">2026-04-13T08:16:00Z</dcterms:modified>
</cp:coreProperties>
</file>